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E3" w:rsidRDefault="009445E3" w:rsidP="009445E3">
      <w:pPr>
        <w:jc w:val="both"/>
        <w:rPr>
          <w:rFonts w:ascii="Verdana" w:hAnsi="Verdana" w:cs="Verdana"/>
          <w:b/>
          <w:sz w:val="20"/>
        </w:rPr>
      </w:pPr>
      <w:r w:rsidRPr="006D20A1">
        <w:rPr>
          <w:rFonts w:ascii="Verdana" w:hAnsi="Verdana" w:cs="Verdana"/>
          <w:b/>
          <w:sz w:val="30"/>
          <w:szCs w:val="30"/>
        </w:rPr>
        <w:t>V</w:t>
      </w:r>
      <w:r w:rsidRPr="006D20A1">
        <w:rPr>
          <w:rFonts w:ascii="Verdana" w:hAnsi="Verdana" w:cs="Verdana"/>
          <w:b/>
          <w:sz w:val="20"/>
        </w:rPr>
        <w:t>BL</w:t>
      </w:r>
      <w:r>
        <w:rPr>
          <w:rFonts w:ascii="Verdana" w:hAnsi="Verdana" w:cs="Verdana"/>
          <w:b/>
          <w:sz w:val="20"/>
        </w:rPr>
        <w:t xml:space="preserve"> I - Leistungserhalt, im Osten teuer erkauft</w:t>
      </w:r>
    </w:p>
    <w:p w:rsidR="009445E3" w:rsidRDefault="009445E3" w:rsidP="009445E3">
      <w:pPr>
        <w:jc w:val="both"/>
        <w:rPr>
          <w:rFonts w:ascii="Verdana" w:hAnsi="Verdana" w:cs="Verdana"/>
          <w:b/>
          <w:sz w:val="20"/>
        </w:rPr>
      </w:pPr>
    </w:p>
    <w:p w:rsidR="009445E3" w:rsidRDefault="009445E3" w:rsidP="009445E3">
      <w:pPr>
        <w:jc w:val="both"/>
        <w:rPr>
          <w:rFonts w:ascii="Verdana" w:hAnsi="Verdana" w:cs="Verdana"/>
          <w:bCs/>
          <w:sz w:val="20"/>
        </w:rPr>
      </w:pPr>
      <w:r>
        <w:rPr>
          <w:rFonts w:ascii="Verdana" w:hAnsi="Verdana" w:cs="Verdana"/>
          <w:bCs/>
          <w:sz w:val="20"/>
        </w:rPr>
        <w:t xml:space="preserve">Die Tarifrunde der Länder 2015 ist durch die Arbeitgeber mit der VBL-Problematik belastet worden und dies obwohl seit geraumer Zeit Tarifgespräche zum Thema dauerhafte Finanzierung der VBL-Leistungen geführt wurden. Problem dabei ist die Aufsplitterung in unterschiedliche Versorgungsbereiche (Bund, Länder, Kommunen, ...) mit unterschiedlichen Finanzierungsarten (Umlage bzw. Kapitaldeckung). Problematisch war die Behauptung der Arbeitgeber, alle Versorgungssysteme wären defizitär. Bis auf den Abrechnungsverband OST, der als einziger mit einem Kapitaldeckungsverfahren finanziert wird, gab es keinen konkreten Hinweis auf finanzielle Probleme mit der längerfristigen der VBL-Versorgungszusagen. Diese waren erst 2002 mit Blick auf die Dauerhaftigkeit der Finanzierung neu (und perspektivisch niedriger als bis dahin gewährt) festgesetzt worden. Im Abrechnungsverband Ost mit einem Kapitaldeckungssystem sind die Auswirkungen der Finanzkrise anders spürbar als in einem Umlagesystem. Es ist VBL-satzungsmäßig vorgesehen, dass in einem Fall von sich ergebenden Finanzierungslücken ggfs. eine Regelung zur Deckung des Finanzbedarfs zu treffen ist. Dazu haben die Gewerkschaften in den einschlägigen Tarifrunden zur VBL auch Verhandlungs-bereitschaft signalisiert. Anders die Arbeitgeber. Die Arbeitgeber wollten generelle Leistungs-kürzungen durchsetzen und sind den Weg der Konfrontation gegangen: Kein Tarifabschluss 2015 ohne generelle Zusage zu Leistungskürzungen. Leistungskürzungen konnten abgewehrt werden, nicht jedoch Maßnahmen zur Deckung des längerfristigen Finanzbedarfs der VBL, insbesondere des Abrechnungsverbandes Ost. </w:t>
      </w:r>
    </w:p>
    <w:p w:rsidR="009445E3" w:rsidRDefault="009445E3" w:rsidP="009445E3">
      <w:pPr>
        <w:jc w:val="both"/>
        <w:rPr>
          <w:rFonts w:ascii="Verdana" w:hAnsi="Verdana" w:cs="Verdana"/>
          <w:bCs/>
          <w:sz w:val="20"/>
        </w:rPr>
      </w:pPr>
    </w:p>
    <w:p w:rsidR="009445E3" w:rsidRDefault="009445E3" w:rsidP="009445E3">
      <w:pPr>
        <w:jc w:val="both"/>
        <w:rPr>
          <w:rFonts w:ascii="Verdana" w:hAnsi="Verdana" w:cs="Verdana"/>
          <w:bCs/>
          <w:sz w:val="20"/>
        </w:rPr>
      </w:pPr>
      <w:r>
        <w:rPr>
          <w:rFonts w:ascii="Verdana" w:hAnsi="Verdana" w:cs="Verdana"/>
          <w:bCs/>
          <w:sz w:val="20"/>
        </w:rPr>
        <w:t>Regelung</w:t>
      </w:r>
    </w:p>
    <w:p w:rsidR="009445E3" w:rsidRDefault="009445E3" w:rsidP="009445E3">
      <w:pPr>
        <w:jc w:val="both"/>
        <w:rPr>
          <w:rFonts w:ascii="Verdana" w:hAnsi="Verdana" w:cs="Verdana"/>
          <w:sz w:val="20"/>
          <w:szCs w:val="20"/>
        </w:rPr>
      </w:pPr>
      <w:r>
        <w:rPr>
          <w:rFonts w:ascii="Verdana" w:hAnsi="Verdana" w:cs="Verdana"/>
          <w:sz w:val="20"/>
          <w:szCs w:val="20"/>
        </w:rPr>
        <w:t>Aufgrund der unterschiedlichen Finanzierungssysteme der VBL in Ost und West sind bei vergleichbaren Bruttoarbeitsentgelten die Nettoentgelte unterschiedlich. Im Ergebnis dieser Musterrechnungen wird erkennbar, dass bei gleichen Bruttoeinkommen die Nettoentgelte im Tarifgebiet Ost bis 2016 über denen im Tarifbereich West liegen. Mit der Anhebung der VBL-Sätze 2017 sind die Nettoeinkommen im Tarifkreis Ost niedriger als im Tarifkreis West.</w:t>
      </w:r>
    </w:p>
    <w:p w:rsidR="009445E3" w:rsidRDefault="009445E3" w:rsidP="009445E3">
      <w:pPr>
        <w:jc w:val="both"/>
        <w:rPr>
          <w:rFonts w:ascii="Verdana" w:hAnsi="Verdana" w:cs="Verdana"/>
          <w:sz w:val="20"/>
          <w:szCs w:val="20"/>
        </w:rPr>
      </w:pPr>
    </w:p>
    <w:p w:rsidR="009445E3" w:rsidRDefault="009445E3" w:rsidP="009445E3">
      <w:pPr>
        <w:jc w:val="both"/>
        <w:rPr>
          <w:rFonts w:ascii="Verdana" w:hAnsi="Verdana" w:cs="Verdana"/>
          <w:sz w:val="20"/>
          <w:szCs w:val="20"/>
        </w:rPr>
      </w:pPr>
    </w:p>
    <w:p w:rsidR="009445E3" w:rsidRDefault="009445E3" w:rsidP="009445E3">
      <w:pPr>
        <w:jc w:val="both"/>
        <w:rPr>
          <w:rFonts w:ascii="Verdana" w:hAnsi="Verdana" w:cs="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955"/>
        <w:gridCol w:w="1956"/>
        <w:gridCol w:w="1956"/>
        <w:gridCol w:w="1956"/>
        <w:tblGridChange w:id="0">
          <w:tblGrid>
            <w:gridCol w:w="1955"/>
            <w:gridCol w:w="1955"/>
            <w:gridCol w:w="1956"/>
            <w:gridCol w:w="1956"/>
            <w:gridCol w:w="1956"/>
          </w:tblGrid>
        </w:tblGridChange>
      </w:tblGrid>
      <w:tr w:rsidR="009445E3" w:rsidRPr="00EE103B" w:rsidTr="008619AA">
        <w:tc>
          <w:tcPr>
            <w:tcW w:w="1955"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Zeitpunkt</w:t>
            </w:r>
          </w:p>
        </w:tc>
        <w:tc>
          <w:tcPr>
            <w:tcW w:w="1955"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E9/Stufe 4</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Brutto</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Netto-Ost</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Netto-West</w:t>
            </w:r>
          </w:p>
        </w:tc>
      </w:tr>
      <w:tr w:rsidR="009445E3" w:rsidRPr="00EE103B" w:rsidTr="008619AA">
        <w:tc>
          <w:tcPr>
            <w:tcW w:w="1955" w:type="dxa"/>
            <w:shd w:val="clear" w:color="auto" w:fill="auto"/>
          </w:tcPr>
          <w:p w:rsidR="009445E3" w:rsidRPr="00EE103B" w:rsidRDefault="009445E3" w:rsidP="008619AA">
            <w:pPr>
              <w:jc w:val="both"/>
              <w:rPr>
                <w:rFonts w:ascii="Verdana" w:hAnsi="Verdana" w:cs="Verdana"/>
                <w:sz w:val="20"/>
                <w:szCs w:val="20"/>
              </w:rPr>
            </w:pPr>
          </w:p>
        </w:tc>
        <w:tc>
          <w:tcPr>
            <w:tcW w:w="1955" w:type="dxa"/>
            <w:shd w:val="clear" w:color="auto" w:fill="auto"/>
          </w:tcPr>
          <w:p w:rsidR="009445E3" w:rsidRPr="00EE103B" w:rsidRDefault="009445E3" w:rsidP="008619AA">
            <w:pPr>
              <w:jc w:val="both"/>
              <w:rPr>
                <w:rFonts w:ascii="Verdana" w:hAnsi="Verdana" w:cs="Verdana"/>
                <w:sz w:val="20"/>
                <w:szCs w:val="20"/>
              </w:rPr>
            </w:pPr>
          </w:p>
        </w:tc>
        <w:tc>
          <w:tcPr>
            <w:tcW w:w="1956" w:type="dxa"/>
            <w:shd w:val="clear" w:color="auto" w:fill="auto"/>
          </w:tcPr>
          <w:p w:rsidR="009445E3" w:rsidRPr="00EE103B" w:rsidRDefault="009445E3" w:rsidP="008619AA">
            <w:pPr>
              <w:jc w:val="both"/>
              <w:rPr>
                <w:rFonts w:ascii="Verdana" w:hAnsi="Verdana" w:cs="Verdana"/>
                <w:sz w:val="20"/>
                <w:szCs w:val="20"/>
              </w:rPr>
            </w:pPr>
          </w:p>
        </w:tc>
        <w:tc>
          <w:tcPr>
            <w:tcW w:w="1956" w:type="dxa"/>
            <w:shd w:val="clear" w:color="auto" w:fill="auto"/>
          </w:tcPr>
          <w:p w:rsidR="009445E3" w:rsidRPr="00EE103B" w:rsidRDefault="009445E3" w:rsidP="008619AA">
            <w:pPr>
              <w:jc w:val="both"/>
              <w:rPr>
                <w:rFonts w:ascii="Verdana" w:hAnsi="Verdana" w:cs="Verdana"/>
                <w:sz w:val="20"/>
                <w:szCs w:val="20"/>
              </w:rPr>
            </w:pPr>
          </w:p>
        </w:tc>
        <w:tc>
          <w:tcPr>
            <w:tcW w:w="1956" w:type="dxa"/>
            <w:shd w:val="clear" w:color="auto" w:fill="auto"/>
          </w:tcPr>
          <w:p w:rsidR="009445E3" w:rsidRPr="00EE103B" w:rsidRDefault="009445E3" w:rsidP="008619AA">
            <w:pPr>
              <w:jc w:val="both"/>
              <w:rPr>
                <w:rFonts w:ascii="Verdana" w:hAnsi="Verdana" w:cs="Verdana"/>
                <w:sz w:val="20"/>
                <w:szCs w:val="20"/>
              </w:rPr>
            </w:pPr>
          </w:p>
        </w:tc>
      </w:tr>
      <w:tr w:rsidR="009445E3" w:rsidRPr="00EE103B" w:rsidTr="008619AA">
        <w:tc>
          <w:tcPr>
            <w:tcW w:w="1955"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01.01.2015</w:t>
            </w:r>
          </w:p>
        </w:tc>
        <w:tc>
          <w:tcPr>
            <w:tcW w:w="1955" w:type="dxa"/>
            <w:shd w:val="clear" w:color="auto" w:fill="auto"/>
          </w:tcPr>
          <w:p w:rsidR="009445E3" w:rsidRPr="00EE103B" w:rsidRDefault="009445E3" w:rsidP="008619AA">
            <w:pPr>
              <w:jc w:val="both"/>
              <w:rPr>
                <w:rFonts w:ascii="Verdana" w:hAnsi="Verdana" w:cs="Verdana"/>
                <w:sz w:val="20"/>
                <w:szCs w:val="20"/>
              </w:rPr>
            </w:pP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3199,71</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1935,09</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1897,99</w:t>
            </w:r>
          </w:p>
        </w:tc>
      </w:tr>
      <w:tr w:rsidR="009445E3" w:rsidRPr="00EE103B" w:rsidTr="008619AA">
        <w:tc>
          <w:tcPr>
            <w:tcW w:w="1955" w:type="dxa"/>
            <w:shd w:val="clear" w:color="auto" w:fill="auto"/>
          </w:tcPr>
          <w:p w:rsidR="009445E3" w:rsidRPr="00EE103B" w:rsidRDefault="009445E3" w:rsidP="008619AA">
            <w:pPr>
              <w:jc w:val="both"/>
              <w:rPr>
                <w:rFonts w:ascii="Verdana" w:hAnsi="Verdana" w:cs="Verdana"/>
                <w:sz w:val="20"/>
                <w:szCs w:val="20"/>
              </w:rPr>
            </w:pPr>
          </w:p>
        </w:tc>
        <w:tc>
          <w:tcPr>
            <w:tcW w:w="1955" w:type="dxa"/>
            <w:shd w:val="clear" w:color="auto" w:fill="auto"/>
          </w:tcPr>
          <w:p w:rsidR="009445E3" w:rsidRPr="00EE103B" w:rsidRDefault="009445E3" w:rsidP="008619AA">
            <w:pPr>
              <w:jc w:val="both"/>
              <w:rPr>
                <w:rFonts w:ascii="Verdana" w:hAnsi="Verdana" w:cs="Verdana"/>
                <w:sz w:val="20"/>
                <w:szCs w:val="20"/>
              </w:rPr>
            </w:pPr>
          </w:p>
        </w:tc>
        <w:tc>
          <w:tcPr>
            <w:tcW w:w="1956" w:type="dxa"/>
            <w:shd w:val="clear" w:color="auto" w:fill="auto"/>
          </w:tcPr>
          <w:p w:rsidR="009445E3" w:rsidRPr="00EE103B" w:rsidRDefault="009445E3" w:rsidP="008619AA">
            <w:pPr>
              <w:jc w:val="both"/>
              <w:rPr>
                <w:rFonts w:ascii="Verdana" w:hAnsi="Verdana" w:cs="Verdana"/>
                <w:sz w:val="20"/>
                <w:szCs w:val="20"/>
              </w:rPr>
            </w:pPr>
          </w:p>
        </w:tc>
        <w:tc>
          <w:tcPr>
            <w:tcW w:w="1956" w:type="dxa"/>
            <w:shd w:val="clear" w:color="auto" w:fill="auto"/>
          </w:tcPr>
          <w:p w:rsidR="009445E3" w:rsidRPr="00EE103B" w:rsidRDefault="009445E3" w:rsidP="008619AA">
            <w:pPr>
              <w:jc w:val="both"/>
              <w:rPr>
                <w:rFonts w:ascii="Verdana" w:hAnsi="Verdana" w:cs="Verdana"/>
                <w:sz w:val="20"/>
                <w:szCs w:val="20"/>
              </w:rPr>
            </w:pPr>
          </w:p>
        </w:tc>
        <w:tc>
          <w:tcPr>
            <w:tcW w:w="1956" w:type="dxa"/>
            <w:shd w:val="clear" w:color="auto" w:fill="auto"/>
          </w:tcPr>
          <w:p w:rsidR="009445E3" w:rsidRPr="00EE103B" w:rsidRDefault="009445E3" w:rsidP="008619AA">
            <w:pPr>
              <w:jc w:val="both"/>
              <w:rPr>
                <w:rFonts w:ascii="Verdana" w:hAnsi="Verdana" w:cs="Verdana"/>
                <w:sz w:val="20"/>
                <w:szCs w:val="20"/>
              </w:rPr>
            </w:pPr>
          </w:p>
        </w:tc>
      </w:tr>
      <w:tr w:rsidR="009445E3" w:rsidRPr="00EE103B" w:rsidTr="008619AA">
        <w:tc>
          <w:tcPr>
            <w:tcW w:w="1955"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01.03.2015</w:t>
            </w:r>
          </w:p>
        </w:tc>
        <w:tc>
          <w:tcPr>
            <w:tcW w:w="1955"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+2.1% (98,5%)</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3283,57</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1974,60</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1935,99</w:t>
            </w:r>
          </w:p>
        </w:tc>
      </w:tr>
      <w:tr w:rsidR="009445E3" w:rsidRPr="00EE103B" w:rsidTr="008619AA">
        <w:tc>
          <w:tcPr>
            <w:tcW w:w="1955"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01.07.2015</w:t>
            </w:r>
          </w:p>
        </w:tc>
        <w:tc>
          <w:tcPr>
            <w:tcW w:w="1955"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VBL 2,75%</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3283,57</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1962,78</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1929,42</w:t>
            </w:r>
          </w:p>
        </w:tc>
      </w:tr>
      <w:tr w:rsidR="009445E3" w:rsidRPr="00EE103B" w:rsidTr="008619AA">
        <w:tc>
          <w:tcPr>
            <w:tcW w:w="1955" w:type="dxa"/>
            <w:shd w:val="clear" w:color="auto" w:fill="auto"/>
          </w:tcPr>
          <w:p w:rsidR="009445E3" w:rsidRPr="00EE103B" w:rsidRDefault="009445E3" w:rsidP="008619AA">
            <w:pPr>
              <w:jc w:val="both"/>
              <w:rPr>
                <w:rFonts w:ascii="Verdana" w:hAnsi="Verdana" w:cs="Verdana"/>
                <w:sz w:val="20"/>
                <w:szCs w:val="20"/>
              </w:rPr>
            </w:pPr>
          </w:p>
        </w:tc>
        <w:tc>
          <w:tcPr>
            <w:tcW w:w="1955" w:type="dxa"/>
            <w:shd w:val="clear" w:color="auto" w:fill="auto"/>
          </w:tcPr>
          <w:p w:rsidR="009445E3" w:rsidRPr="00EE103B" w:rsidRDefault="009445E3" w:rsidP="008619AA">
            <w:pPr>
              <w:jc w:val="both"/>
              <w:rPr>
                <w:rFonts w:ascii="Verdana" w:hAnsi="Verdana" w:cs="Verdana"/>
                <w:sz w:val="20"/>
                <w:szCs w:val="20"/>
              </w:rPr>
            </w:pPr>
          </w:p>
        </w:tc>
        <w:tc>
          <w:tcPr>
            <w:tcW w:w="1956" w:type="dxa"/>
            <w:shd w:val="clear" w:color="auto" w:fill="auto"/>
          </w:tcPr>
          <w:p w:rsidR="009445E3" w:rsidRPr="00EE103B" w:rsidRDefault="009445E3" w:rsidP="008619AA">
            <w:pPr>
              <w:jc w:val="both"/>
              <w:rPr>
                <w:rFonts w:ascii="Verdana" w:hAnsi="Verdana" w:cs="Verdana"/>
                <w:sz w:val="20"/>
                <w:szCs w:val="20"/>
              </w:rPr>
            </w:pPr>
          </w:p>
        </w:tc>
        <w:tc>
          <w:tcPr>
            <w:tcW w:w="1956" w:type="dxa"/>
            <w:shd w:val="clear" w:color="auto" w:fill="auto"/>
          </w:tcPr>
          <w:p w:rsidR="009445E3" w:rsidRPr="00EE103B" w:rsidRDefault="009445E3" w:rsidP="008619AA">
            <w:pPr>
              <w:jc w:val="both"/>
              <w:rPr>
                <w:rFonts w:ascii="Verdana" w:hAnsi="Verdana" w:cs="Verdana"/>
                <w:sz w:val="20"/>
                <w:szCs w:val="20"/>
              </w:rPr>
            </w:pPr>
          </w:p>
        </w:tc>
        <w:tc>
          <w:tcPr>
            <w:tcW w:w="1956" w:type="dxa"/>
            <w:shd w:val="clear" w:color="auto" w:fill="auto"/>
          </w:tcPr>
          <w:p w:rsidR="009445E3" w:rsidRPr="00EE103B" w:rsidRDefault="009445E3" w:rsidP="008619AA">
            <w:pPr>
              <w:jc w:val="both"/>
              <w:rPr>
                <w:rFonts w:ascii="Verdana" w:hAnsi="Verdana" w:cs="Verdana"/>
                <w:sz w:val="20"/>
                <w:szCs w:val="20"/>
              </w:rPr>
            </w:pPr>
          </w:p>
        </w:tc>
      </w:tr>
      <w:tr w:rsidR="009445E3" w:rsidRPr="00EE103B" w:rsidTr="008619AA">
        <w:tc>
          <w:tcPr>
            <w:tcW w:w="1955"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01.03.2016</w:t>
            </w:r>
          </w:p>
        </w:tc>
        <w:tc>
          <w:tcPr>
            <w:tcW w:w="1955"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+2,3%</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3376,14</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1988,12</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1962,63</w:t>
            </w:r>
          </w:p>
        </w:tc>
      </w:tr>
      <w:tr w:rsidR="009445E3" w:rsidRPr="00EE103B" w:rsidTr="008619AA">
        <w:tc>
          <w:tcPr>
            <w:tcW w:w="1955"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01.07.2016</w:t>
            </w:r>
          </w:p>
        </w:tc>
        <w:tc>
          <w:tcPr>
            <w:tcW w:w="1955"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VBL 3,5%</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3376,14</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1976,03</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1959,26</w:t>
            </w:r>
          </w:p>
        </w:tc>
      </w:tr>
      <w:tr w:rsidR="009445E3" w:rsidRPr="00EE103B" w:rsidTr="008619AA">
        <w:tc>
          <w:tcPr>
            <w:tcW w:w="1955" w:type="dxa"/>
            <w:shd w:val="clear" w:color="auto" w:fill="auto"/>
          </w:tcPr>
          <w:p w:rsidR="009445E3" w:rsidRPr="00EE103B" w:rsidRDefault="009445E3" w:rsidP="008619AA">
            <w:pPr>
              <w:jc w:val="both"/>
              <w:rPr>
                <w:rFonts w:ascii="Verdana" w:hAnsi="Verdana" w:cs="Verdana"/>
                <w:sz w:val="20"/>
                <w:szCs w:val="20"/>
              </w:rPr>
            </w:pPr>
          </w:p>
        </w:tc>
        <w:tc>
          <w:tcPr>
            <w:tcW w:w="1955" w:type="dxa"/>
            <w:shd w:val="clear" w:color="auto" w:fill="auto"/>
          </w:tcPr>
          <w:p w:rsidR="009445E3" w:rsidRPr="00EE103B" w:rsidRDefault="009445E3" w:rsidP="008619AA">
            <w:pPr>
              <w:jc w:val="both"/>
              <w:rPr>
                <w:rFonts w:ascii="Verdana" w:hAnsi="Verdana" w:cs="Verdana"/>
                <w:sz w:val="20"/>
                <w:szCs w:val="20"/>
              </w:rPr>
            </w:pPr>
          </w:p>
        </w:tc>
        <w:tc>
          <w:tcPr>
            <w:tcW w:w="1956" w:type="dxa"/>
            <w:shd w:val="clear" w:color="auto" w:fill="auto"/>
          </w:tcPr>
          <w:p w:rsidR="009445E3" w:rsidRPr="00EE103B" w:rsidRDefault="009445E3" w:rsidP="008619AA">
            <w:pPr>
              <w:jc w:val="both"/>
              <w:rPr>
                <w:rFonts w:ascii="Verdana" w:hAnsi="Verdana" w:cs="Verdana"/>
                <w:sz w:val="20"/>
                <w:szCs w:val="20"/>
              </w:rPr>
            </w:pPr>
          </w:p>
        </w:tc>
        <w:tc>
          <w:tcPr>
            <w:tcW w:w="1956" w:type="dxa"/>
            <w:shd w:val="clear" w:color="auto" w:fill="auto"/>
          </w:tcPr>
          <w:p w:rsidR="009445E3" w:rsidRPr="00EE103B" w:rsidRDefault="009445E3" w:rsidP="008619AA">
            <w:pPr>
              <w:jc w:val="both"/>
              <w:rPr>
                <w:rFonts w:ascii="Verdana" w:hAnsi="Verdana" w:cs="Verdana"/>
                <w:sz w:val="20"/>
                <w:szCs w:val="20"/>
              </w:rPr>
            </w:pPr>
          </w:p>
        </w:tc>
        <w:tc>
          <w:tcPr>
            <w:tcW w:w="1956" w:type="dxa"/>
            <w:shd w:val="clear" w:color="auto" w:fill="auto"/>
          </w:tcPr>
          <w:p w:rsidR="009445E3" w:rsidRPr="00EE103B" w:rsidRDefault="009445E3" w:rsidP="008619AA">
            <w:pPr>
              <w:jc w:val="both"/>
              <w:rPr>
                <w:rFonts w:ascii="Verdana" w:hAnsi="Verdana" w:cs="Verdana"/>
                <w:sz w:val="20"/>
                <w:szCs w:val="20"/>
              </w:rPr>
            </w:pPr>
          </w:p>
        </w:tc>
      </w:tr>
      <w:tr w:rsidR="009445E3" w:rsidRPr="00EE103B" w:rsidTr="008619AA">
        <w:tc>
          <w:tcPr>
            <w:tcW w:w="1955"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01.03.2017</w:t>
            </w:r>
          </w:p>
        </w:tc>
        <w:tc>
          <w:tcPr>
            <w:tcW w:w="1955"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nicht vereinbart</w:t>
            </w:r>
          </w:p>
        </w:tc>
        <w:tc>
          <w:tcPr>
            <w:tcW w:w="1956" w:type="dxa"/>
            <w:shd w:val="clear" w:color="auto" w:fill="auto"/>
          </w:tcPr>
          <w:p w:rsidR="009445E3" w:rsidRPr="00EE103B" w:rsidRDefault="009445E3" w:rsidP="008619AA">
            <w:pPr>
              <w:jc w:val="both"/>
              <w:rPr>
                <w:rFonts w:ascii="Verdana" w:hAnsi="Verdana" w:cs="Verdana"/>
                <w:sz w:val="20"/>
                <w:szCs w:val="20"/>
              </w:rPr>
            </w:pPr>
          </w:p>
        </w:tc>
        <w:tc>
          <w:tcPr>
            <w:tcW w:w="1956" w:type="dxa"/>
            <w:shd w:val="clear" w:color="auto" w:fill="auto"/>
          </w:tcPr>
          <w:p w:rsidR="009445E3" w:rsidRPr="00EE103B" w:rsidRDefault="009445E3" w:rsidP="008619AA">
            <w:pPr>
              <w:jc w:val="both"/>
              <w:rPr>
                <w:rFonts w:ascii="Verdana" w:hAnsi="Verdana" w:cs="Verdana"/>
                <w:sz w:val="20"/>
                <w:szCs w:val="20"/>
              </w:rPr>
            </w:pPr>
          </w:p>
        </w:tc>
        <w:tc>
          <w:tcPr>
            <w:tcW w:w="1956" w:type="dxa"/>
            <w:shd w:val="clear" w:color="auto" w:fill="auto"/>
          </w:tcPr>
          <w:p w:rsidR="009445E3" w:rsidRPr="00EE103B" w:rsidRDefault="009445E3" w:rsidP="008619AA">
            <w:pPr>
              <w:jc w:val="both"/>
              <w:rPr>
                <w:rFonts w:ascii="Verdana" w:hAnsi="Verdana" w:cs="Verdana"/>
                <w:sz w:val="20"/>
                <w:szCs w:val="20"/>
              </w:rPr>
            </w:pPr>
          </w:p>
        </w:tc>
      </w:tr>
      <w:tr w:rsidR="009445E3" w:rsidRPr="00EE103B" w:rsidTr="008619AA">
        <w:tc>
          <w:tcPr>
            <w:tcW w:w="1955"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01.07.2017</w:t>
            </w:r>
          </w:p>
        </w:tc>
        <w:tc>
          <w:tcPr>
            <w:tcW w:w="1955"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VBL 4,25%</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3376,14</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1940,43</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1955,88</w:t>
            </w:r>
          </w:p>
        </w:tc>
      </w:tr>
    </w:tbl>
    <w:p w:rsidR="009445E3" w:rsidRDefault="009445E3" w:rsidP="009445E3">
      <w:pPr>
        <w:jc w:val="both"/>
        <w:rPr>
          <w:rFonts w:ascii="Verdana" w:hAnsi="Verdana" w:cs="Verdana"/>
          <w:sz w:val="20"/>
          <w:szCs w:val="20"/>
        </w:rPr>
      </w:pPr>
    </w:p>
    <w:p w:rsidR="009445E3" w:rsidRDefault="009445E3">
      <w:pPr>
        <w:widowControl/>
        <w:suppressAutoHyphens w:val="0"/>
        <w:rPr>
          <w:rFonts w:ascii="Verdana" w:hAnsi="Verdana" w:cs="Verdana"/>
          <w:sz w:val="20"/>
          <w:szCs w:val="20"/>
        </w:rPr>
      </w:pPr>
      <w:r>
        <w:rPr>
          <w:rFonts w:ascii="Verdana" w:hAnsi="Verdana" w:cs="Verdana"/>
          <w:sz w:val="20"/>
          <w:szCs w:val="20"/>
        </w:rPr>
        <w:br w:type="page"/>
      </w:r>
    </w:p>
    <w:p w:rsidR="009445E3" w:rsidRDefault="009445E3" w:rsidP="009445E3">
      <w:pPr>
        <w:jc w:val="both"/>
        <w:rPr>
          <w:rFonts w:ascii="Verdana" w:hAnsi="Verdana" w:cs="Verdana"/>
          <w:sz w:val="20"/>
          <w:szCs w:val="20"/>
        </w:rPr>
      </w:pPr>
      <w:bookmarkStart w:id="1" w:name="_GoBack"/>
      <w:bookmarkEnd w:id="1"/>
    </w:p>
    <w:p w:rsidR="009445E3" w:rsidRDefault="009445E3" w:rsidP="009445E3">
      <w:pPr>
        <w:jc w:val="both"/>
        <w:rPr>
          <w:rFonts w:ascii="Verdana" w:hAnsi="Verdana" w:cs="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955"/>
        <w:gridCol w:w="1956"/>
        <w:gridCol w:w="1956"/>
        <w:gridCol w:w="1956"/>
        <w:tblGridChange w:id="2">
          <w:tblGrid>
            <w:gridCol w:w="1955"/>
            <w:gridCol w:w="1955"/>
            <w:gridCol w:w="1956"/>
            <w:gridCol w:w="1956"/>
            <w:gridCol w:w="1956"/>
          </w:tblGrid>
        </w:tblGridChange>
      </w:tblGrid>
      <w:tr w:rsidR="009445E3" w:rsidRPr="00EE103B" w:rsidTr="008619AA">
        <w:tc>
          <w:tcPr>
            <w:tcW w:w="1955"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Zeitpunkt</w:t>
            </w:r>
          </w:p>
        </w:tc>
        <w:tc>
          <w:tcPr>
            <w:tcW w:w="1955"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E13/Stufe 3</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Brutto</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Netto-Ost</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Netto-West</w:t>
            </w:r>
          </w:p>
        </w:tc>
      </w:tr>
      <w:tr w:rsidR="009445E3" w:rsidRPr="00EE103B" w:rsidTr="008619AA">
        <w:tc>
          <w:tcPr>
            <w:tcW w:w="1955" w:type="dxa"/>
            <w:shd w:val="clear" w:color="auto" w:fill="auto"/>
          </w:tcPr>
          <w:p w:rsidR="009445E3" w:rsidRPr="00EE103B" w:rsidRDefault="009445E3" w:rsidP="008619AA">
            <w:pPr>
              <w:jc w:val="both"/>
              <w:rPr>
                <w:rFonts w:ascii="Verdana" w:hAnsi="Verdana" w:cs="Verdana"/>
                <w:sz w:val="20"/>
                <w:szCs w:val="20"/>
              </w:rPr>
            </w:pPr>
          </w:p>
        </w:tc>
        <w:tc>
          <w:tcPr>
            <w:tcW w:w="1955" w:type="dxa"/>
            <w:shd w:val="clear" w:color="auto" w:fill="auto"/>
          </w:tcPr>
          <w:p w:rsidR="009445E3" w:rsidRPr="00EE103B" w:rsidRDefault="009445E3" w:rsidP="008619AA">
            <w:pPr>
              <w:jc w:val="both"/>
              <w:rPr>
                <w:rFonts w:ascii="Verdana" w:hAnsi="Verdana" w:cs="Verdana"/>
                <w:sz w:val="20"/>
                <w:szCs w:val="20"/>
              </w:rPr>
            </w:pPr>
          </w:p>
        </w:tc>
        <w:tc>
          <w:tcPr>
            <w:tcW w:w="1956" w:type="dxa"/>
            <w:shd w:val="clear" w:color="auto" w:fill="auto"/>
          </w:tcPr>
          <w:p w:rsidR="009445E3" w:rsidRPr="00EE103B" w:rsidRDefault="009445E3" w:rsidP="008619AA">
            <w:pPr>
              <w:jc w:val="both"/>
              <w:rPr>
                <w:rFonts w:ascii="Verdana" w:hAnsi="Verdana" w:cs="Verdana"/>
                <w:sz w:val="20"/>
                <w:szCs w:val="20"/>
              </w:rPr>
            </w:pPr>
          </w:p>
        </w:tc>
        <w:tc>
          <w:tcPr>
            <w:tcW w:w="1956" w:type="dxa"/>
            <w:shd w:val="clear" w:color="auto" w:fill="auto"/>
          </w:tcPr>
          <w:p w:rsidR="009445E3" w:rsidRPr="00EE103B" w:rsidRDefault="009445E3" w:rsidP="008619AA">
            <w:pPr>
              <w:jc w:val="both"/>
              <w:rPr>
                <w:rFonts w:ascii="Verdana" w:hAnsi="Verdana" w:cs="Verdana"/>
                <w:sz w:val="20"/>
                <w:szCs w:val="20"/>
              </w:rPr>
            </w:pPr>
          </w:p>
        </w:tc>
        <w:tc>
          <w:tcPr>
            <w:tcW w:w="1956" w:type="dxa"/>
            <w:shd w:val="clear" w:color="auto" w:fill="auto"/>
          </w:tcPr>
          <w:p w:rsidR="009445E3" w:rsidRPr="00EE103B" w:rsidRDefault="009445E3" w:rsidP="008619AA">
            <w:pPr>
              <w:jc w:val="both"/>
              <w:rPr>
                <w:rFonts w:ascii="Verdana" w:hAnsi="Verdana" w:cs="Verdana"/>
                <w:sz w:val="20"/>
                <w:szCs w:val="20"/>
              </w:rPr>
            </w:pPr>
          </w:p>
        </w:tc>
      </w:tr>
      <w:tr w:rsidR="009445E3" w:rsidRPr="00EE103B" w:rsidTr="008619AA">
        <w:tc>
          <w:tcPr>
            <w:tcW w:w="1955"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01.01.2015</w:t>
            </w:r>
          </w:p>
        </w:tc>
        <w:tc>
          <w:tcPr>
            <w:tcW w:w="1955" w:type="dxa"/>
            <w:shd w:val="clear" w:color="auto" w:fill="auto"/>
          </w:tcPr>
          <w:p w:rsidR="009445E3" w:rsidRPr="00EE103B" w:rsidRDefault="009445E3" w:rsidP="008619AA">
            <w:pPr>
              <w:jc w:val="both"/>
              <w:rPr>
                <w:rFonts w:ascii="Verdana" w:hAnsi="Verdana" w:cs="Verdana"/>
                <w:sz w:val="20"/>
                <w:szCs w:val="20"/>
              </w:rPr>
            </w:pP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3858,47</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2237,31</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2175,40</w:t>
            </w:r>
          </w:p>
        </w:tc>
      </w:tr>
      <w:tr w:rsidR="009445E3" w:rsidRPr="00EE103B" w:rsidTr="008619AA">
        <w:tc>
          <w:tcPr>
            <w:tcW w:w="1955" w:type="dxa"/>
            <w:shd w:val="clear" w:color="auto" w:fill="auto"/>
          </w:tcPr>
          <w:p w:rsidR="009445E3" w:rsidRPr="00EE103B" w:rsidRDefault="009445E3" w:rsidP="008619AA">
            <w:pPr>
              <w:jc w:val="both"/>
              <w:rPr>
                <w:rFonts w:ascii="Verdana" w:hAnsi="Verdana" w:cs="Verdana"/>
                <w:sz w:val="20"/>
                <w:szCs w:val="20"/>
              </w:rPr>
            </w:pPr>
          </w:p>
        </w:tc>
        <w:tc>
          <w:tcPr>
            <w:tcW w:w="1955" w:type="dxa"/>
            <w:shd w:val="clear" w:color="auto" w:fill="auto"/>
          </w:tcPr>
          <w:p w:rsidR="009445E3" w:rsidRPr="00EE103B" w:rsidRDefault="009445E3" w:rsidP="008619AA">
            <w:pPr>
              <w:jc w:val="both"/>
              <w:rPr>
                <w:rFonts w:ascii="Verdana" w:hAnsi="Verdana" w:cs="Verdana"/>
                <w:sz w:val="20"/>
                <w:szCs w:val="20"/>
              </w:rPr>
            </w:pPr>
          </w:p>
        </w:tc>
        <w:tc>
          <w:tcPr>
            <w:tcW w:w="1956" w:type="dxa"/>
            <w:shd w:val="clear" w:color="auto" w:fill="auto"/>
          </w:tcPr>
          <w:p w:rsidR="009445E3" w:rsidRPr="00EE103B" w:rsidRDefault="009445E3" w:rsidP="008619AA">
            <w:pPr>
              <w:jc w:val="both"/>
              <w:rPr>
                <w:rFonts w:ascii="Verdana" w:hAnsi="Verdana" w:cs="Verdana"/>
                <w:sz w:val="20"/>
                <w:szCs w:val="20"/>
              </w:rPr>
            </w:pPr>
          </w:p>
        </w:tc>
        <w:tc>
          <w:tcPr>
            <w:tcW w:w="1956" w:type="dxa"/>
            <w:shd w:val="clear" w:color="auto" w:fill="auto"/>
          </w:tcPr>
          <w:p w:rsidR="009445E3" w:rsidRPr="00EE103B" w:rsidRDefault="009445E3" w:rsidP="008619AA">
            <w:pPr>
              <w:jc w:val="both"/>
              <w:rPr>
                <w:rFonts w:ascii="Verdana" w:hAnsi="Verdana" w:cs="Verdana"/>
                <w:sz w:val="20"/>
                <w:szCs w:val="20"/>
              </w:rPr>
            </w:pPr>
          </w:p>
        </w:tc>
        <w:tc>
          <w:tcPr>
            <w:tcW w:w="1956" w:type="dxa"/>
            <w:shd w:val="clear" w:color="auto" w:fill="auto"/>
          </w:tcPr>
          <w:p w:rsidR="009445E3" w:rsidRPr="00EE103B" w:rsidRDefault="009445E3" w:rsidP="008619AA">
            <w:pPr>
              <w:jc w:val="both"/>
              <w:rPr>
                <w:rFonts w:ascii="Verdana" w:hAnsi="Verdana" w:cs="Verdana"/>
                <w:sz w:val="20"/>
                <w:szCs w:val="20"/>
              </w:rPr>
            </w:pPr>
          </w:p>
        </w:tc>
      </w:tr>
      <w:tr w:rsidR="009445E3" w:rsidRPr="00EE103B" w:rsidTr="008619AA">
        <w:tc>
          <w:tcPr>
            <w:tcW w:w="1955"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01.03.2015</w:t>
            </w:r>
          </w:p>
        </w:tc>
        <w:tc>
          <w:tcPr>
            <w:tcW w:w="1955"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+2.1% (98,5%)</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3959,60</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2282,02</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2215,64</w:t>
            </w:r>
          </w:p>
        </w:tc>
      </w:tr>
      <w:tr w:rsidR="009445E3" w:rsidRPr="00EE103B" w:rsidTr="008619AA">
        <w:tc>
          <w:tcPr>
            <w:tcW w:w="1955"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01.07.2015</w:t>
            </w:r>
          </w:p>
        </w:tc>
        <w:tc>
          <w:tcPr>
            <w:tcW w:w="1955"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VBL 2,75%</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3959,60</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2268,63</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2207,72</w:t>
            </w:r>
          </w:p>
        </w:tc>
      </w:tr>
      <w:tr w:rsidR="009445E3" w:rsidRPr="00EE103B" w:rsidTr="008619AA">
        <w:tc>
          <w:tcPr>
            <w:tcW w:w="1955" w:type="dxa"/>
            <w:shd w:val="clear" w:color="auto" w:fill="auto"/>
          </w:tcPr>
          <w:p w:rsidR="009445E3" w:rsidRPr="00EE103B" w:rsidRDefault="009445E3" w:rsidP="008619AA">
            <w:pPr>
              <w:jc w:val="both"/>
              <w:rPr>
                <w:rFonts w:ascii="Verdana" w:hAnsi="Verdana" w:cs="Verdana"/>
                <w:sz w:val="20"/>
                <w:szCs w:val="20"/>
              </w:rPr>
            </w:pPr>
          </w:p>
        </w:tc>
        <w:tc>
          <w:tcPr>
            <w:tcW w:w="1955" w:type="dxa"/>
            <w:shd w:val="clear" w:color="auto" w:fill="auto"/>
          </w:tcPr>
          <w:p w:rsidR="009445E3" w:rsidRPr="00EE103B" w:rsidRDefault="009445E3" w:rsidP="008619AA">
            <w:pPr>
              <w:jc w:val="both"/>
              <w:rPr>
                <w:rFonts w:ascii="Verdana" w:hAnsi="Verdana" w:cs="Verdana"/>
                <w:sz w:val="20"/>
                <w:szCs w:val="20"/>
              </w:rPr>
            </w:pPr>
          </w:p>
        </w:tc>
        <w:tc>
          <w:tcPr>
            <w:tcW w:w="1956" w:type="dxa"/>
            <w:shd w:val="clear" w:color="auto" w:fill="auto"/>
          </w:tcPr>
          <w:p w:rsidR="009445E3" w:rsidRPr="00EE103B" w:rsidRDefault="009445E3" w:rsidP="008619AA">
            <w:pPr>
              <w:jc w:val="both"/>
              <w:rPr>
                <w:rFonts w:ascii="Verdana" w:hAnsi="Verdana" w:cs="Verdana"/>
                <w:sz w:val="20"/>
                <w:szCs w:val="20"/>
              </w:rPr>
            </w:pPr>
          </w:p>
        </w:tc>
        <w:tc>
          <w:tcPr>
            <w:tcW w:w="1956" w:type="dxa"/>
            <w:shd w:val="clear" w:color="auto" w:fill="auto"/>
          </w:tcPr>
          <w:p w:rsidR="009445E3" w:rsidRPr="00EE103B" w:rsidRDefault="009445E3" w:rsidP="008619AA">
            <w:pPr>
              <w:jc w:val="both"/>
              <w:rPr>
                <w:rFonts w:ascii="Verdana" w:hAnsi="Verdana" w:cs="Verdana"/>
                <w:sz w:val="20"/>
                <w:szCs w:val="20"/>
              </w:rPr>
            </w:pPr>
          </w:p>
        </w:tc>
        <w:tc>
          <w:tcPr>
            <w:tcW w:w="1956" w:type="dxa"/>
            <w:shd w:val="clear" w:color="auto" w:fill="auto"/>
          </w:tcPr>
          <w:p w:rsidR="009445E3" w:rsidRPr="00EE103B" w:rsidRDefault="009445E3" w:rsidP="008619AA">
            <w:pPr>
              <w:jc w:val="both"/>
              <w:rPr>
                <w:rFonts w:ascii="Verdana" w:hAnsi="Verdana" w:cs="Verdana"/>
                <w:sz w:val="20"/>
                <w:szCs w:val="20"/>
              </w:rPr>
            </w:pPr>
          </w:p>
        </w:tc>
      </w:tr>
      <w:tr w:rsidR="009445E3" w:rsidRPr="00EE103B" w:rsidTr="008619AA">
        <w:tc>
          <w:tcPr>
            <w:tcW w:w="1955"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01.03.2016</w:t>
            </w:r>
          </w:p>
        </w:tc>
        <w:tc>
          <w:tcPr>
            <w:tcW w:w="1955"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+2,3%</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4071,23</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2287,80</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2242,22</w:t>
            </w:r>
          </w:p>
        </w:tc>
      </w:tr>
      <w:tr w:rsidR="009445E3" w:rsidRPr="00EE103B" w:rsidTr="008619AA">
        <w:tc>
          <w:tcPr>
            <w:tcW w:w="1955"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01.07.2016</w:t>
            </w:r>
          </w:p>
        </w:tc>
        <w:tc>
          <w:tcPr>
            <w:tcW w:w="1955"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VBL 3,5%</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4071,23</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2250,36</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2238,15</w:t>
            </w:r>
          </w:p>
        </w:tc>
      </w:tr>
      <w:tr w:rsidR="009445E3" w:rsidRPr="00EE103B" w:rsidTr="008619AA">
        <w:tc>
          <w:tcPr>
            <w:tcW w:w="1955" w:type="dxa"/>
            <w:shd w:val="clear" w:color="auto" w:fill="auto"/>
          </w:tcPr>
          <w:p w:rsidR="009445E3" w:rsidRPr="00EE103B" w:rsidRDefault="009445E3" w:rsidP="008619AA">
            <w:pPr>
              <w:jc w:val="both"/>
              <w:rPr>
                <w:rFonts w:ascii="Verdana" w:hAnsi="Verdana" w:cs="Verdana"/>
                <w:sz w:val="20"/>
                <w:szCs w:val="20"/>
              </w:rPr>
            </w:pPr>
          </w:p>
        </w:tc>
        <w:tc>
          <w:tcPr>
            <w:tcW w:w="1955" w:type="dxa"/>
            <w:shd w:val="clear" w:color="auto" w:fill="auto"/>
          </w:tcPr>
          <w:p w:rsidR="009445E3" w:rsidRPr="00EE103B" w:rsidRDefault="009445E3" w:rsidP="008619AA">
            <w:pPr>
              <w:jc w:val="both"/>
              <w:rPr>
                <w:rFonts w:ascii="Verdana" w:hAnsi="Verdana" w:cs="Verdana"/>
                <w:sz w:val="20"/>
                <w:szCs w:val="20"/>
              </w:rPr>
            </w:pPr>
          </w:p>
        </w:tc>
        <w:tc>
          <w:tcPr>
            <w:tcW w:w="1956" w:type="dxa"/>
            <w:shd w:val="clear" w:color="auto" w:fill="auto"/>
          </w:tcPr>
          <w:p w:rsidR="009445E3" w:rsidRPr="00EE103B" w:rsidRDefault="009445E3" w:rsidP="008619AA">
            <w:pPr>
              <w:jc w:val="both"/>
              <w:rPr>
                <w:rFonts w:ascii="Verdana" w:hAnsi="Verdana" w:cs="Verdana"/>
                <w:sz w:val="20"/>
                <w:szCs w:val="20"/>
              </w:rPr>
            </w:pPr>
          </w:p>
        </w:tc>
        <w:tc>
          <w:tcPr>
            <w:tcW w:w="1956" w:type="dxa"/>
            <w:shd w:val="clear" w:color="auto" w:fill="auto"/>
          </w:tcPr>
          <w:p w:rsidR="009445E3" w:rsidRPr="00EE103B" w:rsidRDefault="009445E3" w:rsidP="008619AA">
            <w:pPr>
              <w:jc w:val="both"/>
              <w:rPr>
                <w:rFonts w:ascii="Verdana" w:hAnsi="Verdana" w:cs="Verdana"/>
                <w:sz w:val="20"/>
                <w:szCs w:val="20"/>
              </w:rPr>
            </w:pPr>
          </w:p>
        </w:tc>
        <w:tc>
          <w:tcPr>
            <w:tcW w:w="1956" w:type="dxa"/>
            <w:shd w:val="clear" w:color="auto" w:fill="auto"/>
          </w:tcPr>
          <w:p w:rsidR="009445E3" w:rsidRPr="00EE103B" w:rsidRDefault="009445E3" w:rsidP="008619AA">
            <w:pPr>
              <w:jc w:val="both"/>
              <w:rPr>
                <w:rFonts w:ascii="Verdana" w:hAnsi="Verdana" w:cs="Verdana"/>
                <w:sz w:val="20"/>
                <w:szCs w:val="20"/>
              </w:rPr>
            </w:pPr>
          </w:p>
        </w:tc>
      </w:tr>
      <w:tr w:rsidR="009445E3" w:rsidRPr="00EE103B" w:rsidTr="008619AA">
        <w:tc>
          <w:tcPr>
            <w:tcW w:w="1955"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01.03.2017</w:t>
            </w:r>
          </w:p>
        </w:tc>
        <w:tc>
          <w:tcPr>
            <w:tcW w:w="1955"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nicht vereinbart</w:t>
            </w:r>
          </w:p>
        </w:tc>
        <w:tc>
          <w:tcPr>
            <w:tcW w:w="1956" w:type="dxa"/>
            <w:shd w:val="clear" w:color="auto" w:fill="auto"/>
          </w:tcPr>
          <w:p w:rsidR="009445E3" w:rsidRPr="00EE103B" w:rsidRDefault="009445E3" w:rsidP="008619AA">
            <w:pPr>
              <w:jc w:val="both"/>
              <w:rPr>
                <w:rFonts w:ascii="Verdana" w:hAnsi="Verdana" w:cs="Verdana"/>
                <w:sz w:val="20"/>
                <w:szCs w:val="20"/>
              </w:rPr>
            </w:pPr>
          </w:p>
        </w:tc>
        <w:tc>
          <w:tcPr>
            <w:tcW w:w="1956" w:type="dxa"/>
            <w:shd w:val="clear" w:color="auto" w:fill="auto"/>
          </w:tcPr>
          <w:p w:rsidR="009445E3" w:rsidRPr="00EE103B" w:rsidRDefault="009445E3" w:rsidP="008619AA">
            <w:pPr>
              <w:jc w:val="both"/>
              <w:rPr>
                <w:rFonts w:ascii="Verdana" w:hAnsi="Verdana" w:cs="Verdana"/>
                <w:sz w:val="20"/>
                <w:szCs w:val="20"/>
              </w:rPr>
            </w:pPr>
          </w:p>
        </w:tc>
        <w:tc>
          <w:tcPr>
            <w:tcW w:w="1956" w:type="dxa"/>
            <w:shd w:val="clear" w:color="auto" w:fill="auto"/>
          </w:tcPr>
          <w:p w:rsidR="009445E3" w:rsidRPr="00EE103B" w:rsidRDefault="009445E3" w:rsidP="008619AA">
            <w:pPr>
              <w:jc w:val="both"/>
              <w:rPr>
                <w:rFonts w:ascii="Verdana" w:hAnsi="Verdana" w:cs="Verdana"/>
                <w:sz w:val="20"/>
                <w:szCs w:val="20"/>
              </w:rPr>
            </w:pPr>
          </w:p>
        </w:tc>
      </w:tr>
      <w:tr w:rsidR="009445E3" w:rsidRPr="00EE103B" w:rsidTr="008619AA">
        <w:tc>
          <w:tcPr>
            <w:tcW w:w="1955"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01.07.2017</w:t>
            </w:r>
          </w:p>
        </w:tc>
        <w:tc>
          <w:tcPr>
            <w:tcW w:w="1955"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VBL 4,25%</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4071,23</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2202,83</w:t>
            </w:r>
          </w:p>
        </w:tc>
        <w:tc>
          <w:tcPr>
            <w:tcW w:w="1956" w:type="dxa"/>
            <w:shd w:val="clear" w:color="auto" w:fill="auto"/>
          </w:tcPr>
          <w:p w:rsidR="009445E3" w:rsidRPr="00EE103B" w:rsidRDefault="009445E3" w:rsidP="008619AA">
            <w:pPr>
              <w:jc w:val="both"/>
              <w:rPr>
                <w:rFonts w:ascii="Verdana" w:hAnsi="Verdana" w:cs="Verdana"/>
                <w:sz w:val="20"/>
                <w:szCs w:val="20"/>
              </w:rPr>
            </w:pPr>
            <w:r w:rsidRPr="00EE103B">
              <w:rPr>
                <w:rFonts w:ascii="Verdana" w:hAnsi="Verdana" w:cs="Verdana"/>
                <w:sz w:val="20"/>
                <w:szCs w:val="20"/>
              </w:rPr>
              <w:t>2234,08</w:t>
            </w:r>
          </w:p>
        </w:tc>
      </w:tr>
    </w:tbl>
    <w:p w:rsidR="009445E3" w:rsidRDefault="009445E3" w:rsidP="009445E3">
      <w:pPr>
        <w:jc w:val="both"/>
        <w:rPr>
          <w:rFonts w:ascii="Verdana" w:hAnsi="Verdana" w:cs="Verdana"/>
          <w:sz w:val="20"/>
          <w:szCs w:val="20"/>
        </w:rPr>
      </w:pPr>
    </w:p>
    <w:p w:rsidR="009445E3" w:rsidRDefault="009445E3" w:rsidP="009445E3">
      <w:pPr>
        <w:jc w:val="both"/>
        <w:rPr>
          <w:rFonts w:ascii="Verdana" w:hAnsi="Verdana" w:cs="Verdana"/>
          <w:sz w:val="20"/>
          <w:szCs w:val="20"/>
        </w:rPr>
      </w:pPr>
    </w:p>
    <w:p w:rsidR="009445E3" w:rsidRDefault="009445E3" w:rsidP="009445E3">
      <w:pPr>
        <w:jc w:val="both"/>
        <w:rPr>
          <w:rFonts w:ascii="Verdana" w:hAnsi="Verdana" w:cs="Verdana"/>
          <w:sz w:val="20"/>
          <w:szCs w:val="20"/>
        </w:rPr>
      </w:pPr>
    </w:p>
    <w:p w:rsidR="009445E3" w:rsidRDefault="009445E3" w:rsidP="009445E3">
      <w:pPr>
        <w:jc w:val="both"/>
        <w:rPr>
          <w:rFonts w:ascii="Verdana" w:hAnsi="Verdana" w:cs="Verdana"/>
          <w:sz w:val="20"/>
          <w:szCs w:val="20"/>
        </w:rPr>
      </w:pPr>
      <w:r>
        <w:rPr>
          <w:rFonts w:ascii="Verdana" w:hAnsi="Verdana" w:cs="Verdana"/>
          <w:sz w:val="20"/>
          <w:szCs w:val="20"/>
        </w:rPr>
        <w:t>Für 2017 fehlt die Tarifsteigerung, weil die Runde erst in zwei Jahren läuft.</w:t>
      </w:r>
    </w:p>
    <w:p w:rsidR="009445E3" w:rsidRDefault="009445E3" w:rsidP="009445E3">
      <w:pPr>
        <w:jc w:val="both"/>
        <w:rPr>
          <w:rFonts w:ascii="Verdana" w:hAnsi="Verdana" w:cs="Verdana"/>
          <w:sz w:val="20"/>
          <w:szCs w:val="20"/>
        </w:rPr>
      </w:pPr>
    </w:p>
    <w:p w:rsidR="009445E3" w:rsidRDefault="009445E3" w:rsidP="009445E3">
      <w:pPr>
        <w:jc w:val="both"/>
        <w:rPr>
          <w:rFonts w:ascii="Verdana" w:hAnsi="Verdana" w:cs="Verdana"/>
          <w:sz w:val="20"/>
          <w:szCs w:val="20"/>
        </w:rPr>
      </w:pPr>
      <w:r>
        <w:rPr>
          <w:rFonts w:ascii="Verdana" w:hAnsi="Verdana" w:cs="Verdana"/>
          <w:sz w:val="20"/>
          <w:szCs w:val="20"/>
        </w:rPr>
        <w:t>Zu erkennen ist, dass die unterschiedlichen VBL-Regelungen  in Ost und West (Arbeitnehmer-, Arbeitgeber-Beiträge, Sanierungskosten und steuerliche Behandlung) zu unterschiedlichen Nettoarbeitsentgelten führen, die bis 2016 im Osten weiterhin höhere Nettoeinkommen als im Westen ergeben. Mit der Anhebung der VBL-Beiträge 2017 ändert sich diese Relation.</w:t>
      </w:r>
    </w:p>
    <w:p w:rsidR="000D6465" w:rsidRDefault="000D6465"/>
    <w:sectPr w:rsidR="000D6465">
      <w:headerReference w:type="default" r:id="rId7"/>
      <w:footerReference w:type="default" r:id="rId8"/>
      <w:pgSz w:w="11906" w:h="16838"/>
      <w:pgMar w:top="1903" w:right="1134" w:bottom="2084"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C1" w:rsidRDefault="008223C1">
      <w:r>
        <w:separator/>
      </w:r>
    </w:p>
  </w:endnote>
  <w:endnote w:type="continuationSeparator" w:id="0">
    <w:p w:rsidR="008223C1" w:rsidRDefault="0082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B4" w:rsidRDefault="00B432B4">
    <w:pPr>
      <w:pStyle w:val="HorizontaleLinie"/>
    </w:pPr>
  </w:p>
  <w:p w:rsidR="00B432B4" w:rsidRDefault="00C13767">
    <w:pPr>
      <w:pStyle w:val="Fuzeile"/>
    </w:pPr>
    <w:r>
      <w:rPr>
        <w:rFonts w:ascii="Verdana" w:hAnsi="Verdana"/>
        <w:sz w:val="20"/>
        <w:szCs w:val="20"/>
      </w:rPr>
      <w:t xml:space="preserve">Personalrat des Hochschulbereichs                                                           </w:t>
    </w:r>
    <w:r>
      <w:rPr>
        <w:sz w:val="20"/>
        <w:szCs w:val="20"/>
      </w:rPr>
      <w:fldChar w:fldCharType="begin"/>
    </w:r>
    <w:r>
      <w:rPr>
        <w:sz w:val="20"/>
        <w:szCs w:val="20"/>
      </w:rPr>
      <w:instrText xml:space="preserve"> DATE \@"d.\ MMMM\ yyyy" </w:instrText>
    </w:r>
    <w:r>
      <w:rPr>
        <w:sz w:val="20"/>
        <w:szCs w:val="20"/>
      </w:rPr>
      <w:fldChar w:fldCharType="separate"/>
    </w:r>
    <w:r w:rsidR="009445E3">
      <w:rPr>
        <w:noProof/>
        <w:sz w:val="20"/>
        <w:szCs w:val="20"/>
      </w:rPr>
      <w:t>8. Dezember 2015</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C1" w:rsidRDefault="008223C1">
      <w:r>
        <w:separator/>
      </w:r>
    </w:p>
  </w:footnote>
  <w:footnote w:type="continuationSeparator" w:id="0">
    <w:p w:rsidR="008223C1" w:rsidRDefault="00822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B4" w:rsidRDefault="00C13767">
    <w:pPr>
      <w:pStyle w:val="Fuzeile"/>
    </w:pPr>
    <w:r>
      <w:rPr>
        <w:rFonts w:ascii="Verdana" w:hAnsi="Verdana"/>
        <w:sz w:val="20"/>
        <w:szCs w:val="20"/>
        <w:u w:val="single"/>
      </w:rPr>
      <w:t xml:space="preserve">Personalrat des Hochschulbereichs                                                         </w:t>
    </w:r>
    <w:r>
      <w:rPr>
        <w:sz w:val="20"/>
        <w:szCs w:val="20"/>
        <w:u w:val="single"/>
      </w:rPr>
      <w:fldChar w:fldCharType="begin"/>
    </w:r>
    <w:r>
      <w:rPr>
        <w:sz w:val="20"/>
        <w:szCs w:val="20"/>
        <w:u w:val="single"/>
      </w:rPr>
      <w:instrText xml:space="preserve"> DATE \@"d.\ MMMM\ yyyy" </w:instrText>
    </w:r>
    <w:r>
      <w:rPr>
        <w:sz w:val="20"/>
        <w:szCs w:val="20"/>
        <w:u w:val="single"/>
      </w:rPr>
      <w:fldChar w:fldCharType="separate"/>
    </w:r>
    <w:r w:rsidR="009445E3">
      <w:rPr>
        <w:noProof/>
        <w:sz w:val="20"/>
        <w:szCs w:val="20"/>
        <w:u w:val="single"/>
      </w:rPr>
      <w:t>8. Dezember 2015</w:t>
    </w:r>
    <w:r>
      <w:rPr>
        <w:sz w:val="20"/>
        <w:szCs w:val="20"/>
        <w:u w:val="single"/>
      </w:rPr>
      <w:fldChar w:fldCharType="end"/>
    </w:r>
    <w:r>
      <w:rPr>
        <w:rFonts w:ascii="Verdana" w:hAnsi="Verdana"/>
        <w:sz w:val="20"/>
        <w:szCs w:val="20"/>
        <w:u w:val="single"/>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E3"/>
    <w:rsid w:val="000D6465"/>
    <w:rsid w:val="008223C1"/>
    <w:rsid w:val="009445E3"/>
    <w:rsid w:val="00B432B4"/>
    <w:rsid w:val="00C137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45E3"/>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rPr>
      <w:rFonts w:eastAsia="Arial Unicode MS"/>
      <w:lang w:eastAsia="zh-CN"/>
    </w:rPr>
  </w:style>
  <w:style w:type="paragraph" w:styleId="Liste">
    <w:name w:val="List"/>
    <w:basedOn w:val="Textkrper"/>
  </w:style>
  <w:style w:type="paragraph" w:styleId="Beschriftung">
    <w:name w:val="caption"/>
    <w:basedOn w:val="Standard"/>
    <w:qFormat/>
    <w:pPr>
      <w:suppressLineNumbers/>
      <w:spacing w:before="120" w:after="120"/>
    </w:pPr>
    <w:rPr>
      <w:rFonts w:eastAsia="Arial Unicode MS"/>
      <w:i/>
      <w:iCs/>
      <w:lang w:eastAsia="zh-CN"/>
    </w:rPr>
  </w:style>
  <w:style w:type="paragraph" w:customStyle="1" w:styleId="Verzeichnis">
    <w:name w:val="Verzeichnis"/>
    <w:basedOn w:val="Standard"/>
    <w:pPr>
      <w:suppressLineNumbers/>
    </w:pPr>
  </w:style>
  <w:style w:type="paragraph" w:styleId="Fuzeile">
    <w:name w:val="footer"/>
    <w:basedOn w:val="Standard"/>
    <w:pPr>
      <w:suppressLineNumbers/>
      <w:tabs>
        <w:tab w:val="center" w:pos="4819"/>
        <w:tab w:val="right" w:pos="9638"/>
      </w:tabs>
    </w:pPr>
    <w:rPr>
      <w:rFonts w:eastAsia="Arial Unicode MS"/>
      <w:lang w:eastAsia="zh-CN"/>
    </w:rPr>
  </w:style>
  <w:style w:type="paragraph" w:styleId="Kopfzeile">
    <w:name w:val="header"/>
    <w:basedOn w:val="Standard"/>
    <w:pPr>
      <w:suppressLineNumbers/>
      <w:tabs>
        <w:tab w:val="center" w:pos="4819"/>
        <w:tab w:val="right" w:pos="9638"/>
      </w:tabs>
    </w:pPr>
    <w:rPr>
      <w:rFonts w:eastAsia="Arial Unicode MS"/>
      <w:lang w:eastAsia="zh-CN"/>
    </w:rPr>
  </w:style>
  <w:style w:type="paragraph" w:customStyle="1" w:styleId="HorizontaleLinie">
    <w:name w:val="Horizontale Linie"/>
    <w:basedOn w:val="Standard"/>
    <w:next w:val="Textkrper"/>
    <w:pPr>
      <w:suppressLineNumbers/>
      <w:pBdr>
        <w:top w:val="none" w:sz="0" w:space="0" w:color="000000"/>
        <w:left w:val="none" w:sz="0" w:space="0" w:color="000000"/>
        <w:bottom w:val="double" w:sz="1" w:space="0" w:color="808080"/>
        <w:right w:val="none" w:sz="0" w:space="0" w:color="000000"/>
      </w:pBdr>
      <w:spacing w:after="283"/>
    </w:pPr>
    <w:rPr>
      <w:rFonts w:eastAsia="Arial Unicode MS"/>
      <w:sz w:val="12"/>
      <w:szCs w:val="12"/>
      <w:lang w:eastAsia="zh-CN"/>
    </w:rPr>
  </w:style>
  <w:style w:type="paragraph" w:styleId="Sprechblasentext">
    <w:name w:val="Balloon Text"/>
    <w:basedOn w:val="Standard"/>
    <w:link w:val="SprechblasentextZchn"/>
    <w:uiPriority w:val="99"/>
    <w:semiHidden/>
    <w:unhideWhenUsed/>
    <w:rsid w:val="000D6465"/>
    <w:rPr>
      <w:rFonts w:ascii="Tahoma" w:eastAsia="Arial Unicode MS" w:hAnsi="Tahoma"/>
      <w:sz w:val="16"/>
      <w:szCs w:val="14"/>
      <w:lang w:eastAsia="zh-CN"/>
    </w:rPr>
  </w:style>
  <w:style w:type="character" w:customStyle="1" w:styleId="SprechblasentextZchn">
    <w:name w:val="Sprechblasentext Zchn"/>
    <w:basedOn w:val="Absatz-Standardschriftart"/>
    <w:link w:val="Sprechblasentext"/>
    <w:uiPriority w:val="99"/>
    <w:semiHidden/>
    <w:rsid w:val="000D6465"/>
    <w:rPr>
      <w:rFonts w:ascii="Tahoma" w:eastAsia="Arial Unicode MS"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45E3"/>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rPr>
      <w:rFonts w:eastAsia="Arial Unicode MS"/>
      <w:lang w:eastAsia="zh-CN"/>
    </w:rPr>
  </w:style>
  <w:style w:type="paragraph" w:styleId="Liste">
    <w:name w:val="List"/>
    <w:basedOn w:val="Textkrper"/>
  </w:style>
  <w:style w:type="paragraph" w:styleId="Beschriftung">
    <w:name w:val="caption"/>
    <w:basedOn w:val="Standard"/>
    <w:qFormat/>
    <w:pPr>
      <w:suppressLineNumbers/>
      <w:spacing w:before="120" w:after="120"/>
    </w:pPr>
    <w:rPr>
      <w:rFonts w:eastAsia="Arial Unicode MS"/>
      <w:i/>
      <w:iCs/>
      <w:lang w:eastAsia="zh-CN"/>
    </w:rPr>
  </w:style>
  <w:style w:type="paragraph" w:customStyle="1" w:styleId="Verzeichnis">
    <w:name w:val="Verzeichnis"/>
    <w:basedOn w:val="Standard"/>
    <w:pPr>
      <w:suppressLineNumbers/>
    </w:pPr>
  </w:style>
  <w:style w:type="paragraph" w:styleId="Fuzeile">
    <w:name w:val="footer"/>
    <w:basedOn w:val="Standard"/>
    <w:pPr>
      <w:suppressLineNumbers/>
      <w:tabs>
        <w:tab w:val="center" w:pos="4819"/>
        <w:tab w:val="right" w:pos="9638"/>
      </w:tabs>
    </w:pPr>
    <w:rPr>
      <w:rFonts w:eastAsia="Arial Unicode MS"/>
      <w:lang w:eastAsia="zh-CN"/>
    </w:rPr>
  </w:style>
  <w:style w:type="paragraph" w:styleId="Kopfzeile">
    <w:name w:val="header"/>
    <w:basedOn w:val="Standard"/>
    <w:pPr>
      <w:suppressLineNumbers/>
      <w:tabs>
        <w:tab w:val="center" w:pos="4819"/>
        <w:tab w:val="right" w:pos="9638"/>
      </w:tabs>
    </w:pPr>
    <w:rPr>
      <w:rFonts w:eastAsia="Arial Unicode MS"/>
      <w:lang w:eastAsia="zh-CN"/>
    </w:rPr>
  </w:style>
  <w:style w:type="paragraph" w:customStyle="1" w:styleId="HorizontaleLinie">
    <w:name w:val="Horizontale Linie"/>
    <w:basedOn w:val="Standard"/>
    <w:next w:val="Textkrper"/>
    <w:pPr>
      <w:suppressLineNumbers/>
      <w:pBdr>
        <w:top w:val="none" w:sz="0" w:space="0" w:color="000000"/>
        <w:left w:val="none" w:sz="0" w:space="0" w:color="000000"/>
        <w:bottom w:val="double" w:sz="1" w:space="0" w:color="808080"/>
        <w:right w:val="none" w:sz="0" w:space="0" w:color="000000"/>
      </w:pBdr>
      <w:spacing w:after="283"/>
    </w:pPr>
    <w:rPr>
      <w:rFonts w:eastAsia="Arial Unicode MS"/>
      <w:sz w:val="12"/>
      <w:szCs w:val="12"/>
      <w:lang w:eastAsia="zh-CN"/>
    </w:rPr>
  </w:style>
  <w:style w:type="paragraph" w:styleId="Sprechblasentext">
    <w:name w:val="Balloon Text"/>
    <w:basedOn w:val="Standard"/>
    <w:link w:val="SprechblasentextZchn"/>
    <w:uiPriority w:val="99"/>
    <w:semiHidden/>
    <w:unhideWhenUsed/>
    <w:rsid w:val="000D6465"/>
    <w:rPr>
      <w:rFonts w:ascii="Tahoma" w:eastAsia="Arial Unicode MS" w:hAnsi="Tahoma"/>
      <w:sz w:val="16"/>
      <w:szCs w:val="14"/>
      <w:lang w:eastAsia="zh-CN"/>
    </w:rPr>
  </w:style>
  <w:style w:type="character" w:customStyle="1" w:styleId="SprechblasentextZchn">
    <w:name w:val="Sprechblasentext Zchn"/>
    <w:basedOn w:val="Absatz-Standardschriftart"/>
    <w:link w:val="Sprechblasentext"/>
    <w:uiPriority w:val="99"/>
    <w:semiHidden/>
    <w:rsid w:val="000D6465"/>
    <w:rPr>
      <w:rFonts w:ascii="Tahoma" w:eastAsia="Arial Unicode MS"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Desktop\PR%20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 Text</Template>
  <TotalTime>0</TotalTime>
  <Pages>2</Pages>
  <Words>416</Words>
  <Characters>2912</Characters>
  <Application>Microsoft Office Word</Application>
  <DocSecurity>0</DocSecurity>
  <Lines>39</Lines>
  <Paragraphs>2</Paragraphs>
  <ScaleCrop>false</ScaleCrop>
  <HeadingPairs>
    <vt:vector size="2" baseType="variant">
      <vt:variant>
        <vt:lpstr>Titel</vt:lpstr>
      </vt:variant>
      <vt:variant>
        <vt:i4>1</vt:i4>
      </vt:variant>
    </vt:vector>
  </HeadingPairs>
  <TitlesOfParts>
    <vt:vector size="1" baseType="lpstr">
      <vt:lpstr>PR Telegramm</vt:lpstr>
    </vt:vector>
  </TitlesOfParts>
  <Company>HUB</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Telegramm</dc:title>
  <dc:creator>Reinhold Wulff</dc:creator>
  <cp:lastModifiedBy>Reinhold Wulff</cp:lastModifiedBy>
  <cp:revision>1</cp:revision>
  <cp:lastPrinted>1900-12-31T23:00:00Z</cp:lastPrinted>
  <dcterms:created xsi:type="dcterms:W3CDTF">2015-12-08T13:59:00Z</dcterms:created>
  <dcterms:modified xsi:type="dcterms:W3CDTF">2015-12-08T14:00:00Z</dcterms:modified>
</cp:coreProperties>
</file>